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6D20" w14:textId="77777777" w:rsidR="002D572D" w:rsidRDefault="000428CF">
      <w:pPr>
        <w:pStyle w:val="P68B1DB1-BodyText1"/>
        <w:ind w:left="3006"/>
      </w:pPr>
      <w:r>
        <w:rPr>
          <w:noProof/>
        </w:rPr>
        <w:drawing>
          <wp:inline distT="0" distB="0" distL="0" distR="0" wp14:anchorId="30440748" wp14:editId="3CD81752">
            <wp:extent cx="1721785" cy="7810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21785" cy="781050"/>
                    </a:xfrm>
                    <a:prstGeom prst="rect">
                      <a:avLst/>
                    </a:prstGeom>
                  </pic:spPr>
                </pic:pic>
              </a:graphicData>
            </a:graphic>
          </wp:inline>
        </w:drawing>
      </w:r>
    </w:p>
    <w:p w14:paraId="13AF6189" w14:textId="77777777" w:rsidR="002D572D" w:rsidRDefault="000428CF">
      <w:pPr>
        <w:pStyle w:val="P68B1DB1-Normal2"/>
        <w:spacing w:before="220" w:line="276" w:lineRule="auto"/>
        <w:ind w:left="2602" w:right="2743" w:firstLine="2"/>
        <w:jc w:val="center"/>
      </w:pPr>
      <w:r>
        <w:t>FENERBAHÇE UNIVERSITY ADVISORY BOARDS DIRECTIVE</w:t>
      </w:r>
    </w:p>
    <w:p w14:paraId="4A3D7074" w14:textId="77777777" w:rsidR="002D572D" w:rsidRDefault="002D572D">
      <w:pPr>
        <w:pStyle w:val="BodyText"/>
        <w:rPr>
          <w:b/>
        </w:rPr>
      </w:pPr>
    </w:p>
    <w:p w14:paraId="320FE802" w14:textId="77777777" w:rsidR="002D572D" w:rsidRDefault="002D572D">
      <w:pPr>
        <w:pStyle w:val="BodyText"/>
        <w:spacing w:before="82"/>
        <w:rPr>
          <w:b/>
        </w:rPr>
      </w:pPr>
    </w:p>
    <w:p w14:paraId="274474B6" w14:textId="77777777" w:rsidR="002D572D" w:rsidRDefault="000428CF">
      <w:pPr>
        <w:pStyle w:val="P68B1DB1-Normal2"/>
        <w:spacing w:before="1"/>
        <w:ind w:left="5" w:right="147"/>
        <w:jc w:val="center"/>
      </w:pPr>
      <w:r>
        <w:t>PART ONE</w:t>
      </w:r>
    </w:p>
    <w:p w14:paraId="083E37BF" w14:textId="77777777" w:rsidR="002D572D" w:rsidRDefault="000428CF">
      <w:pPr>
        <w:pStyle w:val="P68B1DB1-Normal2"/>
        <w:spacing w:before="40"/>
        <w:ind w:left="7" w:right="147"/>
        <w:jc w:val="center"/>
      </w:pPr>
      <w:r>
        <w:t>Purpose, Scope, Basis, and Definitions</w:t>
      </w:r>
    </w:p>
    <w:p w14:paraId="55ED54C1" w14:textId="77777777" w:rsidR="002D572D" w:rsidRDefault="002D572D">
      <w:pPr>
        <w:pStyle w:val="BodyText"/>
        <w:spacing w:before="84"/>
        <w:rPr>
          <w:b/>
        </w:rPr>
      </w:pPr>
    </w:p>
    <w:p w14:paraId="0CD95D10" w14:textId="77777777" w:rsidR="002D572D" w:rsidRDefault="000428CF">
      <w:pPr>
        <w:pStyle w:val="P68B1DB1-Normal2"/>
        <w:ind w:left="141"/>
      </w:pPr>
      <w:r>
        <w:t>Purpose</w:t>
      </w:r>
    </w:p>
    <w:p w14:paraId="09D3E657" w14:textId="77777777" w:rsidR="002D572D" w:rsidRDefault="000428CF">
      <w:pPr>
        <w:pStyle w:val="BodyText"/>
        <w:spacing w:before="41" w:line="276" w:lineRule="auto"/>
        <w:ind w:left="141" w:right="283"/>
        <w:jc w:val="both"/>
      </w:pPr>
      <w:r>
        <w:rPr>
          <w:b/>
        </w:rPr>
        <w:t xml:space="preserve">ARTICLE 1 </w:t>
      </w:r>
      <w:r>
        <w:t>– (1) The purpose of this directive is to ensure cooperation between Fenerbahçe University and its academic units, public and private sector organizations, and other stakeholders, as well as the sustainability of this cooperation. It also aims to establish advisory boards to share expertise and determine the rules governing their functioning.</w:t>
      </w:r>
    </w:p>
    <w:p w14:paraId="21383B93" w14:textId="77777777" w:rsidR="002D572D" w:rsidRDefault="002D572D">
      <w:pPr>
        <w:pStyle w:val="BodyText"/>
        <w:spacing w:before="42"/>
      </w:pPr>
    </w:p>
    <w:p w14:paraId="05523113" w14:textId="77777777" w:rsidR="002D572D" w:rsidRDefault="000428CF">
      <w:pPr>
        <w:pStyle w:val="P68B1DB1-Normal2"/>
        <w:ind w:left="141"/>
      </w:pPr>
      <w:r>
        <w:t>Scope</w:t>
      </w:r>
    </w:p>
    <w:p w14:paraId="3D3161FF" w14:textId="77777777" w:rsidR="002D572D" w:rsidRDefault="000428CF">
      <w:pPr>
        <w:pStyle w:val="BodyText"/>
        <w:spacing w:before="41" w:line="276" w:lineRule="auto"/>
        <w:ind w:left="141" w:right="283"/>
        <w:jc w:val="both"/>
      </w:pPr>
      <w:r>
        <w:rPr>
          <w:b/>
        </w:rPr>
        <w:t xml:space="preserve">ARTICLE 2 </w:t>
      </w:r>
      <w:r>
        <w:t>– (1) This directive covers the formation of advisory boards, along with the working principles and rules to ensure sustainable cooperation with external stakeholders of Fenerbahçe University and its academic units, improve relations, and share expertise.</w:t>
      </w:r>
    </w:p>
    <w:p w14:paraId="2A89410A" w14:textId="77777777" w:rsidR="002D572D" w:rsidRDefault="002D572D">
      <w:pPr>
        <w:pStyle w:val="BodyText"/>
        <w:spacing w:before="41"/>
      </w:pPr>
    </w:p>
    <w:p w14:paraId="6E90E875" w14:textId="77777777" w:rsidR="002D572D" w:rsidRDefault="000428CF">
      <w:pPr>
        <w:pStyle w:val="P68B1DB1-Normal2"/>
        <w:ind w:left="141"/>
      </w:pPr>
      <w:r>
        <w:t>Basis</w:t>
      </w:r>
    </w:p>
    <w:p w14:paraId="4832C9D0" w14:textId="77777777" w:rsidR="002D572D" w:rsidRDefault="000428CF">
      <w:pPr>
        <w:pStyle w:val="BodyText"/>
        <w:spacing w:before="43" w:line="276" w:lineRule="auto"/>
        <w:ind w:left="141" w:right="281"/>
        <w:jc w:val="both"/>
      </w:pPr>
      <w:r>
        <w:rPr>
          <w:b/>
        </w:rPr>
        <w:t>ARTICLE 3</w:t>
      </w:r>
      <w:r>
        <w:t xml:space="preserve"> – (1) This directive has been prepared based on clause (f) of Article 44 of the Higher Education Law, dated 04.11.1981 and numbered 2547, and Article 4 of the Regulation on the Establishment of an Advisory Board in Higher Education Institutions, published in the Official Gazette on 08.10.2016 and numbered 29851.</w:t>
      </w:r>
    </w:p>
    <w:p w14:paraId="5F750D66" w14:textId="77777777" w:rsidR="002D572D" w:rsidRDefault="002D572D">
      <w:pPr>
        <w:pStyle w:val="BodyText"/>
        <w:spacing w:before="41"/>
      </w:pPr>
    </w:p>
    <w:p w14:paraId="288FDDEB" w14:textId="77777777" w:rsidR="002D572D" w:rsidRDefault="000428CF">
      <w:pPr>
        <w:pStyle w:val="P68B1DB1-Normal2"/>
        <w:spacing w:before="1"/>
        <w:ind w:left="141"/>
      </w:pPr>
      <w:r>
        <w:t>Definitions</w:t>
      </w:r>
    </w:p>
    <w:p w14:paraId="32414E5F" w14:textId="77777777" w:rsidR="002D572D" w:rsidRDefault="000428CF">
      <w:pPr>
        <w:pStyle w:val="P68B1DB1-Normal3"/>
        <w:spacing w:before="40"/>
        <w:ind w:left="141"/>
      </w:pPr>
      <w:r>
        <w:rPr>
          <w:b/>
        </w:rPr>
        <w:t xml:space="preserve">ARTICLE 4 </w:t>
      </w:r>
      <w:r>
        <w:t>- (1) Definitions of the terms in this Directive are as follows;</w:t>
      </w:r>
    </w:p>
    <w:p w14:paraId="0E686FBA" w14:textId="77777777" w:rsidR="002D572D" w:rsidRDefault="000428CF">
      <w:pPr>
        <w:pStyle w:val="P68B1DB1-ListParagraph4"/>
        <w:numPr>
          <w:ilvl w:val="0"/>
          <w:numId w:val="4"/>
        </w:numPr>
        <w:tabs>
          <w:tab w:val="left" w:pos="861"/>
        </w:tabs>
        <w:spacing w:line="278" w:lineRule="auto"/>
        <w:ind w:right="283"/>
        <w:jc w:val="both"/>
      </w:pPr>
      <w:r>
        <w:t>Academic Unit Advisory Board: A board that provides insights and recommendations on the activities conducted within faculties, institutes, colleges, and vocational schools,</w:t>
      </w:r>
    </w:p>
    <w:p w14:paraId="5792E48C" w14:textId="77777777" w:rsidR="002D572D" w:rsidRDefault="000428CF">
      <w:pPr>
        <w:pStyle w:val="P68B1DB1-ListParagraph4"/>
        <w:numPr>
          <w:ilvl w:val="0"/>
          <w:numId w:val="4"/>
        </w:numPr>
        <w:tabs>
          <w:tab w:val="left" w:pos="861"/>
        </w:tabs>
        <w:spacing w:before="0" w:line="276" w:lineRule="auto"/>
        <w:ind w:right="284"/>
        <w:jc w:val="both"/>
      </w:pPr>
      <w:r>
        <w:t>Academic Program Advisory Board: A board that assesses activities related to associate, undergraduate, and graduate education, as determined by academic units, in alignment with the conditions recommended by relevant program accreditation institutions. It offers insights and recommendations for programs conducted within these academic units,</w:t>
      </w:r>
    </w:p>
    <w:p w14:paraId="4592419C" w14:textId="77777777" w:rsidR="000C1324" w:rsidRDefault="000428CF" w:rsidP="000C1324">
      <w:pPr>
        <w:pStyle w:val="P68B1DB1-ListParagraph4"/>
        <w:numPr>
          <w:ilvl w:val="0"/>
          <w:numId w:val="4"/>
        </w:numPr>
        <w:tabs>
          <w:tab w:val="left" w:pos="860"/>
        </w:tabs>
        <w:spacing w:before="0"/>
        <w:ind w:left="860" w:hanging="359"/>
        <w:jc w:val="both"/>
      </w:pPr>
      <w:r>
        <w:t>Secretary General: Secretary General of Fenerbahçe University,</w:t>
      </w:r>
    </w:p>
    <w:p w14:paraId="4D75C27B" w14:textId="6BECAF8A" w:rsidR="002D572D" w:rsidRDefault="000C1324" w:rsidP="000C1324">
      <w:pPr>
        <w:pStyle w:val="P68B1DB1-ListParagraph4"/>
        <w:tabs>
          <w:tab w:val="left" w:pos="860"/>
        </w:tabs>
        <w:spacing w:before="0"/>
        <w:ind w:left="501" w:firstLine="0"/>
        <w:jc w:val="both"/>
      </w:pPr>
      <w:r>
        <w:t>ç)   Board of Trustees: The Board of Trustees of Fenerbahçe University,</w:t>
      </w:r>
    </w:p>
    <w:p w14:paraId="39B2D5C8" w14:textId="77777777" w:rsidR="002D572D" w:rsidRDefault="000428CF">
      <w:pPr>
        <w:pStyle w:val="P68B1DB1-ListParagraph4"/>
        <w:numPr>
          <w:ilvl w:val="0"/>
          <w:numId w:val="4"/>
        </w:numPr>
        <w:tabs>
          <w:tab w:val="left" w:pos="860"/>
        </w:tabs>
        <w:ind w:left="860" w:hanging="359"/>
      </w:pPr>
      <w:r>
        <w:t>Senate: Fenerbahçe University Senate,</w:t>
      </w:r>
    </w:p>
    <w:p w14:paraId="7A719E03" w14:textId="77777777" w:rsidR="002D572D" w:rsidRDefault="002D572D">
      <w:pPr>
        <w:pStyle w:val="BodyText"/>
        <w:rPr>
          <w:sz w:val="20"/>
        </w:rPr>
      </w:pPr>
    </w:p>
    <w:p w14:paraId="73C7CF19" w14:textId="77777777" w:rsidR="002D572D" w:rsidRDefault="002D572D">
      <w:pPr>
        <w:pStyle w:val="BodyText"/>
        <w:spacing w:before="31"/>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60"/>
        <w:gridCol w:w="1278"/>
        <w:gridCol w:w="1558"/>
      </w:tblGrid>
      <w:tr w:rsidR="002D572D" w14:paraId="6EDC35D6" w14:textId="77777777" w:rsidTr="00DC5600">
        <w:trPr>
          <w:trHeight w:val="414"/>
        </w:trPr>
        <w:tc>
          <w:tcPr>
            <w:tcW w:w="2127" w:type="dxa"/>
          </w:tcPr>
          <w:p w14:paraId="5360F595" w14:textId="77777777" w:rsidR="002D572D" w:rsidRDefault="000428CF">
            <w:pPr>
              <w:pStyle w:val="P68B1DB1-TableParagraph5"/>
            </w:pPr>
            <w:r>
              <w:t>Doc code: YÖN.REK.32</w:t>
            </w:r>
          </w:p>
        </w:tc>
        <w:tc>
          <w:tcPr>
            <w:tcW w:w="2110" w:type="dxa"/>
          </w:tcPr>
          <w:p w14:paraId="49BA2693" w14:textId="77777777" w:rsidR="002D572D" w:rsidRDefault="000428CF">
            <w:pPr>
              <w:pStyle w:val="P68B1DB1-TableParagraph5"/>
            </w:pPr>
            <w:r>
              <w:t>RELEASE DATE: 28.11.2024</w:t>
            </w:r>
          </w:p>
        </w:tc>
        <w:tc>
          <w:tcPr>
            <w:tcW w:w="1860" w:type="dxa"/>
          </w:tcPr>
          <w:p w14:paraId="0566C041" w14:textId="27C1EFC9" w:rsidR="002D572D" w:rsidRDefault="00DC5600">
            <w:pPr>
              <w:pStyle w:val="P68B1DB1-TableParagraph5"/>
              <w:ind w:left="107"/>
            </w:pPr>
            <w:r>
              <w:t>REV</w:t>
            </w:r>
            <w:r w:rsidR="000428CF">
              <w:t xml:space="preserve">. </w:t>
            </w:r>
            <w:r>
              <w:t xml:space="preserve">DATE: </w:t>
            </w:r>
            <w:r w:rsidRPr="00DC5600">
              <w:t>26.06.202</w:t>
            </w:r>
            <w:r>
              <w:t>5</w:t>
            </w:r>
          </w:p>
        </w:tc>
        <w:tc>
          <w:tcPr>
            <w:tcW w:w="1278" w:type="dxa"/>
          </w:tcPr>
          <w:p w14:paraId="51EA31D6" w14:textId="73DD940B" w:rsidR="002D572D" w:rsidRDefault="000428CF">
            <w:pPr>
              <w:pStyle w:val="P68B1DB1-TableParagraph5"/>
              <w:ind w:left="325"/>
            </w:pPr>
            <w:r>
              <w:t xml:space="preserve">REV. No: </w:t>
            </w:r>
            <w:r w:rsidR="00DC5600">
              <w:t>01</w:t>
            </w:r>
          </w:p>
        </w:tc>
        <w:tc>
          <w:tcPr>
            <w:tcW w:w="1558" w:type="dxa"/>
          </w:tcPr>
          <w:p w14:paraId="2086CFBC" w14:textId="77777777" w:rsidR="002D572D" w:rsidRDefault="000428CF">
            <w:pPr>
              <w:pStyle w:val="P68B1DB1-TableParagraph5"/>
              <w:ind w:left="203"/>
            </w:pPr>
            <w:r>
              <w:t>INTERNAL ONLY</w:t>
            </w:r>
          </w:p>
        </w:tc>
      </w:tr>
    </w:tbl>
    <w:p w14:paraId="110A4B15" w14:textId="77777777" w:rsidR="002D572D" w:rsidRDefault="002D572D">
      <w:pPr>
        <w:pStyle w:val="TableParagraph"/>
        <w:rPr>
          <w:sz w:val="16"/>
        </w:rPr>
        <w:sectPr w:rsidR="002D572D">
          <w:footerReference w:type="default" r:id="rId8"/>
          <w:type w:val="continuous"/>
          <w:pgSz w:w="11910" w:h="16840"/>
          <w:pgMar w:top="900" w:right="1133" w:bottom="620" w:left="1275" w:header="0" w:footer="436" w:gutter="0"/>
          <w:pgNumType w:start="1"/>
          <w:cols w:space="720"/>
        </w:sectPr>
      </w:pPr>
    </w:p>
    <w:p w14:paraId="1204B15E" w14:textId="77777777" w:rsidR="000C1324" w:rsidRDefault="000C1324" w:rsidP="000C1324">
      <w:pPr>
        <w:pStyle w:val="P68B1DB1-ListParagraph4"/>
        <w:numPr>
          <w:ilvl w:val="0"/>
          <w:numId w:val="5"/>
        </w:numPr>
        <w:tabs>
          <w:tab w:val="left" w:pos="860"/>
        </w:tabs>
      </w:pPr>
      <w:r>
        <w:lastRenderedPageBreak/>
        <w:t>Rector: Fenerbahçe University Rector,</w:t>
      </w:r>
    </w:p>
    <w:p w14:paraId="59151952" w14:textId="77777777" w:rsidR="000C1324" w:rsidRDefault="000C1324" w:rsidP="000C1324">
      <w:pPr>
        <w:pStyle w:val="P68B1DB1-ListParagraph4"/>
        <w:numPr>
          <w:ilvl w:val="0"/>
          <w:numId w:val="5"/>
        </w:numPr>
        <w:tabs>
          <w:tab w:val="left" w:pos="861"/>
        </w:tabs>
        <w:spacing w:before="43"/>
      </w:pPr>
      <w:r>
        <w:t>University: Fenerbahçe University,</w:t>
      </w:r>
    </w:p>
    <w:p w14:paraId="19794525" w14:textId="77777777" w:rsidR="000C1324" w:rsidRDefault="000C1324" w:rsidP="000C1324">
      <w:pPr>
        <w:pStyle w:val="P68B1DB1-ListParagraph4"/>
        <w:numPr>
          <w:ilvl w:val="0"/>
          <w:numId w:val="5"/>
        </w:numPr>
        <w:tabs>
          <w:tab w:val="left" w:pos="861"/>
        </w:tabs>
        <w:spacing w:line="276" w:lineRule="auto"/>
        <w:ind w:right="282"/>
      </w:pPr>
      <w:r>
        <w:t>University Advisory Board: A board that provides insights and recommendations on the activities conducted at Fenerbahçe University and its units.</w:t>
      </w:r>
    </w:p>
    <w:p w14:paraId="58C6270A" w14:textId="77777777" w:rsidR="000C1324" w:rsidRDefault="000C1324" w:rsidP="000C1324">
      <w:pPr>
        <w:pStyle w:val="P68B1DB1-ListParagraph4"/>
        <w:tabs>
          <w:tab w:val="left" w:pos="861"/>
        </w:tabs>
        <w:spacing w:line="276" w:lineRule="auto"/>
        <w:ind w:right="282" w:firstLine="0"/>
      </w:pPr>
    </w:p>
    <w:p w14:paraId="52EF0D50" w14:textId="77777777" w:rsidR="002D572D" w:rsidRDefault="000428CF">
      <w:pPr>
        <w:pStyle w:val="P68B1DB1-Normal2"/>
        <w:spacing w:before="76"/>
        <w:ind w:left="5" w:right="144"/>
        <w:jc w:val="center"/>
      </w:pPr>
      <w:r>
        <w:t>PART TWO</w:t>
      </w:r>
    </w:p>
    <w:p w14:paraId="37DEA81B" w14:textId="77777777" w:rsidR="002D572D" w:rsidRDefault="000428CF">
      <w:pPr>
        <w:pStyle w:val="P68B1DB1-Normal2"/>
        <w:spacing w:before="44"/>
        <w:ind w:right="147"/>
        <w:jc w:val="center"/>
      </w:pPr>
      <w:r>
        <w:t>Formation and Operating Principles of Advisory Boards</w:t>
      </w:r>
    </w:p>
    <w:p w14:paraId="73E3D8D1" w14:textId="77777777" w:rsidR="002D572D" w:rsidRDefault="002D572D">
      <w:pPr>
        <w:pStyle w:val="BodyText"/>
        <w:spacing w:before="82"/>
        <w:rPr>
          <w:b/>
        </w:rPr>
      </w:pPr>
    </w:p>
    <w:p w14:paraId="0701AEEF" w14:textId="77777777" w:rsidR="002D572D" w:rsidRDefault="000428CF">
      <w:pPr>
        <w:pStyle w:val="P68B1DB1-Normal2"/>
        <w:ind w:left="141"/>
      </w:pPr>
      <w:r>
        <w:t>Program advisory boards</w:t>
      </w:r>
    </w:p>
    <w:p w14:paraId="66A0B49A" w14:textId="44D48479" w:rsidR="002D572D" w:rsidRDefault="000428CF">
      <w:pPr>
        <w:pStyle w:val="BodyText"/>
        <w:spacing w:before="41" w:line="278" w:lineRule="auto"/>
        <w:ind w:left="141"/>
      </w:pPr>
      <w:r>
        <w:rPr>
          <w:b/>
        </w:rPr>
        <w:t>ARTICLE 5</w:t>
      </w:r>
      <w:r w:rsidR="000C1324">
        <w:rPr>
          <w:b/>
        </w:rPr>
        <w:t xml:space="preserve"> </w:t>
      </w:r>
      <w:r>
        <w:rPr>
          <w:b/>
        </w:rPr>
        <w:t>-</w:t>
      </w:r>
      <w:r>
        <w:t xml:space="preserve"> (1) Program advisory boards are proposed by the relevant academic unit manager (head of department/program) and approved by the dean/principal.</w:t>
      </w:r>
    </w:p>
    <w:p w14:paraId="3E3D7779" w14:textId="77777777" w:rsidR="002D572D" w:rsidRDefault="000428CF">
      <w:pPr>
        <w:pStyle w:val="BodyText"/>
        <w:spacing w:line="276" w:lineRule="auto"/>
        <w:ind w:left="141"/>
      </w:pPr>
      <w:r>
        <w:t>(2) Program advisory boards consist of department/program instructors, student representatives, graduates, industry and professional organization representatives, and other individuals as deemed appropriate.</w:t>
      </w:r>
    </w:p>
    <w:p w14:paraId="571D3CA4" w14:textId="77777777" w:rsidR="002D572D" w:rsidRDefault="002D572D">
      <w:pPr>
        <w:pStyle w:val="BodyText"/>
        <w:spacing w:before="37"/>
      </w:pPr>
    </w:p>
    <w:p w14:paraId="17AC37B2" w14:textId="77777777" w:rsidR="002D572D" w:rsidRDefault="000428CF">
      <w:pPr>
        <w:pStyle w:val="P68B1DB1-Normal2"/>
        <w:ind w:left="141"/>
        <w:jc w:val="both"/>
      </w:pPr>
      <w:r>
        <w:t>Academic unit advisory boards</w:t>
      </w:r>
    </w:p>
    <w:p w14:paraId="44E17284" w14:textId="27EAE7A1" w:rsidR="002D572D" w:rsidRDefault="000428CF">
      <w:pPr>
        <w:pStyle w:val="BodyText"/>
        <w:spacing w:before="41" w:line="276" w:lineRule="auto"/>
        <w:ind w:left="141" w:right="283"/>
        <w:jc w:val="both"/>
      </w:pPr>
      <w:r>
        <w:rPr>
          <w:b/>
        </w:rPr>
        <w:t>ARTICLE 6</w:t>
      </w:r>
      <w:r w:rsidR="000C1324">
        <w:rPr>
          <w:b/>
        </w:rPr>
        <w:t xml:space="preserve"> </w:t>
      </w:r>
      <w:r>
        <w:rPr>
          <w:b/>
        </w:rPr>
        <w:t>-</w:t>
      </w:r>
      <w:r>
        <w:t xml:space="preserve"> (1) Academic unit advisory boards are appointed by the dean/principal from among the representatives of the program advisory board associated with the relevant unit. Academic unit advisory boards consist of sector representatives, representatives from non-governmental and professional organizations, representatives from other higher education institutions, and alumni representatives.</w:t>
      </w:r>
    </w:p>
    <w:p w14:paraId="17F31D67" w14:textId="77777777" w:rsidR="002D572D" w:rsidRDefault="000428CF">
      <w:pPr>
        <w:pStyle w:val="P68B1DB1-ListParagraph4"/>
        <w:numPr>
          <w:ilvl w:val="0"/>
          <w:numId w:val="3"/>
        </w:numPr>
        <w:tabs>
          <w:tab w:val="left" w:pos="540"/>
        </w:tabs>
        <w:spacing w:before="1" w:line="276" w:lineRule="auto"/>
        <w:ind w:right="284" w:firstLine="0"/>
        <w:jc w:val="both"/>
      </w:pPr>
      <w:r>
        <w:t>Establishing the committees outlined in the first paragraph of this article is optional for academic units with program advisory boards.</w:t>
      </w:r>
    </w:p>
    <w:p w14:paraId="64BBBE06" w14:textId="77777777" w:rsidR="002D572D" w:rsidRDefault="002D572D">
      <w:pPr>
        <w:pStyle w:val="BodyText"/>
        <w:spacing w:before="39"/>
      </w:pPr>
    </w:p>
    <w:p w14:paraId="1175E292" w14:textId="77777777" w:rsidR="002D572D" w:rsidRDefault="000428CF">
      <w:pPr>
        <w:pStyle w:val="P68B1DB1-Normal2"/>
        <w:spacing w:before="1"/>
        <w:ind w:left="141"/>
        <w:jc w:val="both"/>
      </w:pPr>
      <w:r>
        <w:t>University advisory board</w:t>
      </w:r>
    </w:p>
    <w:p w14:paraId="7281AE36" w14:textId="77777777" w:rsidR="002D572D" w:rsidRDefault="000428CF">
      <w:pPr>
        <w:pStyle w:val="BodyText"/>
        <w:spacing w:before="43" w:line="276" w:lineRule="auto"/>
        <w:ind w:left="141" w:right="284"/>
        <w:jc w:val="both"/>
      </w:pPr>
      <w:r>
        <w:rPr>
          <w:b/>
        </w:rPr>
        <w:t>ARTICLE 7</w:t>
      </w:r>
      <w:r>
        <w:t xml:space="preserve"> – (1) The University advisory board consists of the following members, including representatives from public and private sector organizations, nominated by the Rector and approved by the Chairman of the Board of Trustees, to strengthen the University's relations with external stakeholders:</w:t>
      </w:r>
    </w:p>
    <w:p w14:paraId="74055024" w14:textId="77777777" w:rsidR="002D572D" w:rsidRDefault="000428CF">
      <w:pPr>
        <w:pStyle w:val="P68B1DB1-ListParagraph4"/>
        <w:numPr>
          <w:ilvl w:val="1"/>
          <w:numId w:val="3"/>
        </w:numPr>
        <w:tabs>
          <w:tab w:val="left" w:pos="860"/>
        </w:tabs>
        <w:spacing w:before="0"/>
        <w:ind w:left="860" w:hanging="359"/>
      </w:pPr>
      <w:r>
        <w:t>Board of Trustees Representative</w:t>
      </w:r>
    </w:p>
    <w:p w14:paraId="0AE05F1B" w14:textId="77777777" w:rsidR="002D572D" w:rsidRDefault="000428CF">
      <w:pPr>
        <w:pStyle w:val="P68B1DB1-ListParagraph4"/>
        <w:numPr>
          <w:ilvl w:val="1"/>
          <w:numId w:val="3"/>
        </w:numPr>
        <w:tabs>
          <w:tab w:val="left" w:pos="860"/>
        </w:tabs>
        <w:ind w:left="860" w:hanging="359"/>
      </w:pPr>
      <w:r>
        <w:t>Rector</w:t>
      </w:r>
    </w:p>
    <w:p w14:paraId="5CAD432F" w14:textId="77777777" w:rsidR="002D572D" w:rsidRDefault="000428CF">
      <w:pPr>
        <w:pStyle w:val="P68B1DB1-ListParagraph4"/>
        <w:numPr>
          <w:ilvl w:val="1"/>
          <w:numId w:val="3"/>
        </w:numPr>
        <w:tabs>
          <w:tab w:val="left" w:pos="860"/>
        </w:tabs>
        <w:ind w:left="860" w:hanging="359"/>
      </w:pPr>
      <w:r>
        <w:t>Public institution representatives</w:t>
      </w:r>
    </w:p>
    <w:p w14:paraId="7DF73AA3" w14:textId="04945079" w:rsidR="002D572D" w:rsidRDefault="000428CF">
      <w:pPr>
        <w:pStyle w:val="BodyText"/>
        <w:spacing w:before="41"/>
        <w:ind w:left="501"/>
      </w:pPr>
      <w:r>
        <w:t>ç)   Representatives of non-governmental and professional organizations</w:t>
      </w:r>
    </w:p>
    <w:p w14:paraId="109173E2" w14:textId="77777777" w:rsidR="002D572D" w:rsidRDefault="000428CF">
      <w:pPr>
        <w:pStyle w:val="P68B1DB1-ListParagraph4"/>
        <w:numPr>
          <w:ilvl w:val="1"/>
          <w:numId w:val="3"/>
        </w:numPr>
        <w:tabs>
          <w:tab w:val="left" w:pos="860"/>
        </w:tabs>
        <w:spacing w:before="43"/>
        <w:ind w:left="860" w:hanging="359"/>
      </w:pPr>
      <w:r>
        <w:t>Alumni representatives</w:t>
      </w:r>
    </w:p>
    <w:p w14:paraId="149FC399" w14:textId="77777777" w:rsidR="002D572D" w:rsidRDefault="000428CF">
      <w:pPr>
        <w:pStyle w:val="P68B1DB1-ListParagraph4"/>
        <w:numPr>
          <w:ilvl w:val="1"/>
          <w:numId w:val="3"/>
        </w:numPr>
        <w:tabs>
          <w:tab w:val="left" w:pos="861"/>
        </w:tabs>
      </w:pPr>
      <w:r>
        <w:t>The Rector’s proposal and other stakeholders approved by the Chairman of the Board of Trustees</w:t>
      </w:r>
    </w:p>
    <w:p w14:paraId="501F7B5B" w14:textId="77777777" w:rsidR="002D572D" w:rsidRDefault="000428CF">
      <w:pPr>
        <w:pStyle w:val="BodyText"/>
        <w:spacing w:before="40"/>
        <w:ind w:left="141"/>
      </w:pPr>
      <w:r>
        <w:t>(2) The Board is chaired by the Rector, and the secretariat is managed by the Secretary General.</w:t>
      </w:r>
    </w:p>
    <w:p w14:paraId="62CC236E" w14:textId="77777777" w:rsidR="002D572D" w:rsidRDefault="002D572D">
      <w:pPr>
        <w:pStyle w:val="BodyText"/>
        <w:spacing w:before="84"/>
      </w:pPr>
    </w:p>
    <w:p w14:paraId="4C7816D7" w14:textId="77777777" w:rsidR="002D572D" w:rsidRDefault="000428CF">
      <w:pPr>
        <w:pStyle w:val="P68B1DB1-Normal2"/>
        <w:ind w:left="141"/>
        <w:jc w:val="both"/>
      </w:pPr>
      <w:r>
        <w:t>Appointment of external board members and their terms of office</w:t>
      </w:r>
    </w:p>
    <w:p w14:paraId="361114D1" w14:textId="77777777" w:rsidR="002D572D" w:rsidRDefault="000428CF">
      <w:pPr>
        <w:pStyle w:val="BodyText"/>
        <w:spacing w:before="41" w:line="276" w:lineRule="auto"/>
        <w:ind w:left="141" w:right="285"/>
        <w:jc w:val="both"/>
      </w:pPr>
      <w:r>
        <w:rPr>
          <w:b/>
        </w:rPr>
        <w:t xml:space="preserve">ARTICLE 8– </w:t>
      </w:r>
      <w:r>
        <w:t>(1) The term of office for board members is three years. A member whose term has expired may be reappointed.</w:t>
      </w:r>
    </w:p>
    <w:p w14:paraId="332A3D2E" w14:textId="77777777" w:rsidR="002D572D" w:rsidRDefault="002D572D">
      <w:pPr>
        <w:pStyle w:val="BodyText"/>
        <w:spacing w:before="218"/>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60"/>
        <w:gridCol w:w="1278"/>
        <w:gridCol w:w="1558"/>
      </w:tblGrid>
      <w:tr w:rsidR="002D572D" w14:paraId="55A5D4D1" w14:textId="77777777" w:rsidTr="00DC5600">
        <w:trPr>
          <w:trHeight w:val="414"/>
        </w:trPr>
        <w:tc>
          <w:tcPr>
            <w:tcW w:w="2127" w:type="dxa"/>
          </w:tcPr>
          <w:p w14:paraId="7679E047" w14:textId="77777777" w:rsidR="002D572D" w:rsidRDefault="000428CF">
            <w:pPr>
              <w:pStyle w:val="P68B1DB1-TableParagraph5"/>
            </w:pPr>
            <w:r>
              <w:t>Doc code: YÖN.REK.32</w:t>
            </w:r>
          </w:p>
        </w:tc>
        <w:tc>
          <w:tcPr>
            <w:tcW w:w="2110" w:type="dxa"/>
          </w:tcPr>
          <w:p w14:paraId="3C9E0A71" w14:textId="77777777" w:rsidR="002D572D" w:rsidRDefault="000428CF">
            <w:pPr>
              <w:pStyle w:val="P68B1DB1-TableParagraph5"/>
            </w:pPr>
            <w:r>
              <w:t>RELEASE DATE: 28.11.2024</w:t>
            </w:r>
          </w:p>
        </w:tc>
        <w:tc>
          <w:tcPr>
            <w:tcW w:w="1860" w:type="dxa"/>
          </w:tcPr>
          <w:p w14:paraId="16035444" w14:textId="08FFEE3C" w:rsidR="002D572D" w:rsidRDefault="00DC5600">
            <w:pPr>
              <w:pStyle w:val="P68B1DB1-TableParagraph5"/>
              <w:ind w:left="107"/>
            </w:pPr>
            <w:r>
              <w:t xml:space="preserve">REV. DATE: </w:t>
            </w:r>
            <w:r w:rsidRPr="00DC5600">
              <w:t>26.06.202</w:t>
            </w:r>
            <w:r>
              <w:t>5</w:t>
            </w:r>
          </w:p>
        </w:tc>
        <w:tc>
          <w:tcPr>
            <w:tcW w:w="1278" w:type="dxa"/>
          </w:tcPr>
          <w:p w14:paraId="18C4658F" w14:textId="6C270E2A" w:rsidR="002D572D" w:rsidRDefault="000428CF">
            <w:pPr>
              <w:pStyle w:val="P68B1DB1-TableParagraph5"/>
              <w:ind w:left="325"/>
            </w:pPr>
            <w:r>
              <w:t xml:space="preserve">REV. No: </w:t>
            </w:r>
            <w:r w:rsidR="00DC5600">
              <w:t>01</w:t>
            </w:r>
          </w:p>
        </w:tc>
        <w:tc>
          <w:tcPr>
            <w:tcW w:w="1558" w:type="dxa"/>
          </w:tcPr>
          <w:p w14:paraId="4178E2E9" w14:textId="77777777" w:rsidR="002D572D" w:rsidRDefault="000428CF">
            <w:pPr>
              <w:pStyle w:val="P68B1DB1-TableParagraph5"/>
              <w:ind w:left="203"/>
            </w:pPr>
            <w:r>
              <w:t>INTERNAL ONLY</w:t>
            </w:r>
          </w:p>
        </w:tc>
      </w:tr>
    </w:tbl>
    <w:p w14:paraId="55E23D67" w14:textId="77777777" w:rsidR="002D572D" w:rsidRDefault="002D572D">
      <w:pPr>
        <w:pStyle w:val="TableParagraph"/>
        <w:rPr>
          <w:sz w:val="16"/>
        </w:rPr>
        <w:sectPr w:rsidR="002D572D">
          <w:pgSz w:w="11910" w:h="16840"/>
          <w:pgMar w:top="1320" w:right="1133" w:bottom="800" w:left="1275" w:header="0" w:footer="436" w:gutter="0"/>
          <w:cols w:space="720"/>
        </w:sectPr>
      </w:pPr>
    </w:p>
    <w:p w14:paraId="7CBCB927" w14:textId="536FD718" w:rsidR="000C1324" w:rsidRDefault="000C1324" w:rsidP="000C1324">
      <w:pPr>
        <w:pStyle w:val="P68B1DB1-ListParagraph4"/>
        <w:numPr>
          <w:ilvl w:val="0"/>
          <w:numId w:val="2"/>
        </w:numPr>
        <w:tabs>
          <w:tab w:val="left" w:pos="511"/>
        </w:tabs>
        <w:spacing w:before="2" w:line="276" w:lineRule="auto"/>
        <w:ind w:right="286" w:firstLine="0"/>
        <w:jc w:val="both"/>
      </w:pPr>
      <w:r>
        <w:lastRenderedPageBreak/>
        <w:t>The board membership of members appointed on behalf of their institutions is automatically terminated when their duties at those institutions end. The institution is requested to appoint a new member to replace the one whose term has ended. The new member serves the remaining term.</w:t>
      </w:r>
    </w:p>
    <w:p w14:paraId="22FBE502" w14:textId="77777777" w:rsidR="000C1324" w:rsidRDefault="000C1324" w:rsidP="000C1324">
      <w:pPr>
        <w:pStyle w:val="P68B1DB1-ListParagraph4"/>
        <w:tabs>
          <w:tab w:val="left" w:pos="511"/>
        </w:tabs>
        <w:spacing w:before="2" w:line="276" w:lineRule="auto"/>
        <w:ind w:left="141" w:right="286" w:firstLine="0"/>
        <w:jc w:val="both"/>
      </w:pPr>
    </w:p>
    <w:p w14:paraId="6F1803B4" w14:textId="77777777" w:rsidR="000C1324" w:rsidRDefault="000C1324" w:rsidP="000C1324">
      <w:pPr>
        <w:pStyle w:val="P68B1DB1-Normal2"/>
        <w:ind w:left="141"/>
        <w:jc w:val="both"/>
      </w:pPr>
      <w:r>
        <w:t>Duties of advisory boards</w:t>
      </w:r>
    </w:p>
    <w:p w14:paraId="0752F805" w14:textId="543B7567" w:rsidR="000C1324" w:rsidRDefault="000C1324" w:rsidP="000C1324">
      <w:pPr>
        <w:pStyle w:val="BodyText"/>
        <w:spacing w:before="43"/>
        <w:ind w:left="141"/>
        <w:jc w:val="both"/>
      </w:pPr>
      <w:r>
        <w:rPr>
          <w:b/>
        </w:rPr>
        <w:t xml:space="preserve">ARTICLE 9 - </w:t>
      </w:r>
      <w:r>
        <w:t>(1) The duties of the advisory boards are as follows:</w:t>
      </w:r>
    </w:p>
    <w:p w14:paraId="15019363" w14:textId="77777777" w:rsidR="000C1324" w:rsidRDefault="000C1324" w:rsidP="000C1324">
      <w:pPr>
        <w:pStyle w:val="P68B1DB1-ListParagraph4"/>
        <w:numPr>
          <w:ilvl w:val="1"/>
          <w:numId w:val="2"/>
        </w:numPr>
        <w:tabs>
          <w:tab w:val="left" w:pos="861"/>
        </w:tabs>
        <w:spacing w:line="276" w:lineRule="auto"/>
        <w:ind w:right="282"/>
        <w:jc w:val="both"/>
      </w:pPr>
      <w:r>
        <w:t>To offer recommendations for enhancing relations and cooperation with public and private sector institutions, organizations, and professional chambers in the areas where university units operate.</w:t>
      </w:r>
    </w:p>
    <w:p w14:paraId="635A6C56" w14:textId="77777777" w:rsidR="002D572D" w:rsidRDefault="000428CF">
      <w:pPr>
        <w:pStyle w:val="P68B1DB1-ListParagraph4"/>
        <w:numPr>
          <w:ilvl w:val="1"/>
          <w:numId w:val="2"/>
        </w:numPr>
        <w:tabs>
          <w:tab w:val="left" w:pos="861"/>
        </w:tabs>
        <w:spacing w:before="76" w:line="278" w:lineRule="auto"/>
        <w:ind w:right="287"/>
        <w:jc w:val="both"/>
      </w:pPr>
      <w:r>
        <w:t>To offer recommendations on the knowledge and skills required from graduates to meet the employment needs in both the public and private sectors.</w:t>
      </w:r>
    </w:p>
    <w:p w14:paraId="1EFB09DE" w14:textId="77777777" w:rsidR="002D572D" w:rsidRDefault="000428CF">
      <w:pPr>
        <w:pStyle w:val="P68B1DB1-ListParagraph4"/>
        <w:numPr>
          <w:ilvl w:val="1"/>
          <w:numId w:val="2"/>
        </w:numPr>
        <w:tabs>
          <w:tab w:val="left" w:pos="861"/>
        </w:tabs>
        <w:spacing w:before="0" w:line="276" w:lineRule="auto"/>
        <w:ind w:right="282"/>
        <w:jc w:val="both"/>
      </w:pPr>
      <w:r>
        <w:t>To contribute to the enhancement, development, dissemination, maintenance, and continuous improvement of quality in education, research, and community engagement activities.</w:t>
      </w:r>
    </w:p>
    <w:p w14:paraId="1FB64F56" w14:textId="77777777" w:rsidR="002D572D" w:rsidRDefault="000428CF">
      <w:pPr>
        <w:pStyle w:val="BodyText"/>
        <w:spacing w:line="276" w:lineRule="auto"/>
        <w:ind w:left="861" w:right="286" w:hanging="360"/>
        <w:jc w:val="both"/>
      </w:pPr>
      <w:r>
        <w:t>ç) To contribute to the enhancement of the university's educational activities through internships, practical experiences, and other opportunities.</w:t>
      </w:r>
    </w:p>
    <w:p w14:paraId="300E46DF" w14:textId="77777777" w:rsidR="002D572D" w:rsidRDefault="000428CF">
      <w:pPr>
        <w:pStyle w:val="P68B1DB1-ListParagraph4"/>
        <w:numPr>
          <w:ilvl w:val="1"/>
          <w:numId w:val="2"/>
        </w:numPr>
        <w:tabs>
          <w:tab w:val="left" w:pos="861"/>
        </w:tabs>
        <w:spacing w:before="0" w:line="276" w:lineRule="auto"/>
        <w:ind w:right="281"/>
      </w:pPr>
      <w:r>
        <w:t>To offer recommendations for strengthening cooperation between the public, university, private sector, and civil society, and for advancing research and innovation activities.</w:t>
      </w:r>
    </w:p>
    <w:p w14:paraId="2EC1AE6E" w14:textId="77777777" w:rsidR="002D572D" w:rsidRDefault="000428CF">
      <w:pPr>
        <w:pStyle w:val="P68B1DB1-ListParagraph4"/>
        <w:numPr>
          <w:ilvl w:val="1"/>
          <w:numId w:val="2"/>
        </w:numPr>
        <w:tabs>
          <w:tab w:val="left" w:pos="861"/>
        </w:tabs>
        <w:spacing w:before="0" w:line="276" w:lineRule="auto"/>
        <w:ind w:right="288"/>
      </w:pPr>
      <w:r>
        <w:t>To contribute to the implementation efforts in the relevant field by collaborating with non-university institutions and organizations.</w:t>
      </w:r>
    </w:p>
    <w:p w14:paraId="574D8E7F" w14:textId="77777777" w:rsidR="002D572D" w:rsidRDefault="000428CF">
      <w:pPr>
        <w:pStyle w:val="P68B1DB1-ListParagraph4"/>
        <w:numPr>
          <w:ilvl w:val="1"/>
          <w:numId w:val="2"/>
        </w:numPr>
        <w:tabs>
          <w:tab w:val="left" w:pos="861"/>
        </w:tabs>
        <w:spacing w:before="0" w:line="275" w:lineRule="exact"/>
      </w:pPr>
      <w:r>
        <w:t>To offer insights and recommendations for enhancing the university's recognition.</w:t>
      </w:r>
    </w:p>
    <w:p w14:paraId="5560847D" w14:textId="77777777" w:rsidR="002D572D" w:rsidRDefault="000428CF">
      <w:pPr>
        <w:pStyle w:val="P68B1DB1-ListParagraph4"/>
        <w:numPr>
          <w:ilvl w:val="1"/>
          <w:numId w:val="2"/>
        </w:numPr>
        <w:tabs>
          <w:tab w:val="left" w:pos="860"/>
        </w:tabs>
        <w:spacing w:before="38"/>
        <w:ind w:left="860" w:hanging="359"/>
      </w:pPr>
      <w:r>
        <w:t>Reviewing the requests and recommendations from external stakeholders.</w:t>
      </w:r>
    </w:p>
    <w:p w14:paraId="72C78DE4" w14:textId="77777777" w:rsidR="002D572D" w:rsidRDefault="002D572D">
      <w:pPr>
        <w:pStyle w:val="BodyText"/>
        <w:spacing w:before="85"/>
      </w:pPr>
    </w:p>
    <w:p w14:paraId="6C9B65E7" w14:textId="77777777" w:rsidR="002D572D" w:rsidRDefault="000428CF">
      <w:pPr>
        <w:pStyle w:val="P68B1DB1-Normal2"/>
        <w:ind w:left="141"/>
        <w:jc w:val="both"/>
      </w:pPr>
      <w:r>
        <w:t>Operating principles and regulations of advisory boards</w:t>
      </w:r>
    </w:p>
    <w:p w14:paraId="20A13559" w14:textId="0813C1F2" w:rsidR="002D572D" w:rsidRDefault="000428CF">
      <w:pPr>
        <w:pStyle w:val="BodyText"/>
        <w:spacing w:before="41"/>
        <w:ind w:left="141"/>
        <w:jc w:val="both"/>
      </w:pPr>
      <w:r>
        <w:rPr>
          <w:b/>
        </w:rPr>
        <w:t>ARTICLE 10</w:t>
      </w:r>
      <w:r w:rsidR="000C1324">
        <w:rPr>
          <w:b/>
        </w:rPr>
        <w:t xml:space="preserve"> </w:t>
      </w:r>
      <w:r>
        <w:rPr>
          <w:b/>
        </w:rPr>
        <w:t>–</w:t>
      </w:r>
      <w:r>
        <w:t xml:space="preserve"> (1) The operating procedures of the advisory boards are as follows:</w:t>
      </w:r>
    </w:p>
    <w:p w14:paraId="6388567F" w14:textId="77777777" w:rsidR="002D572D" w:rsidRDefault="000428CF">
      <w:pPr>
        <w:pStyle w:val="P68B1DB1-ListParagraph4"/>
        <w:numPr>
          <w:ilvl w:val="0"/>
          <w:numId w:val="1"/>
        </w:numPr>
        <w:tabs>
          <w:tab w:val="left" w:pos="860"/>
        </w:tabs>
        <w:spacing w:before="40"/>
        <w:ind w:left="860" w:hanging="359"/>
        <w:jc w:val="both"/>
      </w:pPr>
      <w:r>
        <w:t>Advisory boards meet at least twice a year.</w:t>
      </w:r>
    </w:p>
    <w:p w14:paraId="006B24B3" w14:textId="77777777" w:rsidR="002D572D" w:rsidRDefault="000428CF">
      <w:pPr>
        <w:pStyle w:val="P68B1DB1-ListParagraph4"/>
        <w:numPr>
          <w:ilvl w:val="0"/>
          <w:numId w:val="1"/>
        </w:numPr>
        <w:tabs>
          <w:tab w:val="left" w:pos="861"/>
        </w:tabs>
        <w:spacing w:line="276" w:lineRule="auto"/>
        <w:ind w:right="281"/>
        <w:jc w:val="both"/>
      </w:pPr>
      <w:r>
        <w:t>The Rector prepares the agenda for the university advisory board, while the relevant academic unit manager prepares the agenda for the academic unit advisory boards. The suggestions of the board members are considered during the preparation of the agenda. The agenda is sent to the members electronically at least five working days prior to the meeting date.</w:t>
      </w:r>
    </w:p>
    <w:p w14:paraId="296BA359" w14:textId="77777777" w:rsidR="002D572D" w:rsidRDefault="000428CF">
      <w:pPr>
        <w:pStyle w:val="P68B1DB1-ListParagraph4"/>
        <w:numPr>
          <w:ilvl w:val="0"/>
          <w:numId w:val="1"/>
        </w:numPr>
        <w:tabs>
          <w:tab w:val="left" w:pos="861"/>
        </w:tabs>
        <w:spacing w:before="0" w:line="278" w:lineRule="auto"/>
        <w:ind w:right="279"/>
        <w:jc w:val="both"/>
      </w:pPr>
      <w:r>
        <w:t>Board decisions are advisory in nature. Board decisions are submitted to the relevant units of the University and discussed in the quality commissions.</w:t>
      </w:r>
    </w:p>
    <w:p w14:paraId="21664947" w14:textId="77777777" w:rsidR="002D572D" w:rsidRDefault="002D572D">
      <w:pPr>
        <w:pStyle w:val="BodyText"/>
        <w:spacing w:before="37"/>
      </w:pPr>
    </w:p>
    <w:p w14:paraId="6C15F3C2" w14:textId="77777777" w:rsidR="002D572D" w:rsidRDefault="000428CF">
      <w:pPr>
        <w:pStyle w:val="P68B1DB1-Normal2"/>
        <w:ind w:left="6" w:right="147"/>
        <w:jc w:val="center"/>
      </w:pPr>
      <w:r>
        <w:t>PART THREE</w:t>
      </w:r>
    </w:p>
    <w:p w14:paraId="12531CD0" w14:textId="348D340D" w:rsidR="002D572D" w:rsidRPr="000C1324" w:rsidRDefault="000428CF" w:rsidP="000C1324">
      <w:pPr>
        <w:pStyle w:val="P68B1DB1-Normal2"/>
        <w:spacing w:before="41"/>
        <w:ind w:right="144"/>
        <w:jc w:val="center"/>
      </w:pPr>
      <w:r>
        <w:t>Effective Date and Implementation</w:t>
      </w:r>
    </w:p>
    <w:p w14:paraId="19851874" w14:textId="77777777" w:rsidR="002D572D" w:rsidRDefault="000428CF">
      <w:pPr>
        <w:pStyle w:val="P68B1DB1-Normal2"/>
        <w:ind w:left="141"/>
      </w:pPr>
      <w:r>
        <w:t>Effective Date</w:t>
      </w:r>
    </w:p>
    <w:p w14:paraId="2207D928" w14:textId="1937CA01" w:rsidR="002D572D" w:rsidRDefault="000428CF">
      <w:pPr>
        <w:pStyle w:val="BodyText"/>
        <w:spacing w:before="41"/>
        <w:ind w:left="141"/>
      </w:pPr>
      <w:r>
        <w:rPr>
          <w:b/>
        </w:rPr>
        <w:t xml:space="preserve">Article 11- </w:t>
      </w:r>
      <w:r>
        <w:t xml:space="preserve">(1) This directive takes effect on the date </w:t>
      </w:r>
      <w:r w:rsidR="006B3069">
        <w:t>of its approval by the</w:t>
      </w:r>
      <w:r>
        <w:t xml:space="preserve"> Senate. </w:t>
      </w:r>
    </w:p>
    <w:p w14:paraId="2222A428" w14:textId="77777777" w:rsidR="002D572D" w:rsidRDefault="002D572D">
      <w:pPr>
        <w:pStyle w:val="BodyText"/>
        <w:spacing w:before="84"/>
      </w:pPr>
    </w:p>
    <w:p w14:paraId="26005718" w14:textId="77777777" w:rsidR="002D572D" w:rsidRDefault="000428CF">
      <w:pPr>
        <w:pStyle w:val="P68B1DB1-Normal2"/>
        <w:ind w:left="141"/>
      </w:pPr>
      <w:r>
        <w:t>Implementation</w:t>
      </w:r>
    </w:p>
    <w:p w14:paraId="7619EEE9" w14:textId="77777777" w:rsidR="002D572D" w:rsidRDefault="000428CF">
      <w:pPr>
        <w:pStyle w:val="BodyText"/>
        <w:spacing w:before="41"/>
        <w:ind w:left="141"/>
      </w:pPr>
      <w:r>
        <w:rPr>
          <w:b/>
        </w:rPr>
        <w:t xml:space="preserve">Article 12 </w:t>
      </w:r>
      <w:r>
        <w:t>– (1) The provisions of this directive are implemented by the Rector.</w:t>
      </w:r>
    </w:p>
    <w:p w14:paraId="5BEF4D84" w14:textId="77777777" w:rsidR="002D572D" w:rsidRDefault="002D572D">
      <w:pPr>
        <w:pStyle w:val="BodyText"/>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60"/>
        <w:gridCol w:w="1278"/>
        <w:gridCol w:w="1558"/>
      </w:tblGrid>
      <w:tr w:rsidR="002D572D" w14:paraId="5B193655" w14:textId="77777777" w:rsidTr="00DC5600">
        <w:trPr>
          <w:trHeight w:val="414"/>
        </w:trPr>
        <w:tc>
          <w:tcPr>
            <w:tcW w:w="2127" w:type="dxa"/>
          </w:tcPr>
          <w:p w14:paraId="2A616501" w14:textId="77777777" w:rsidR="002D572D" w:rsidRDefault="000428CF">
            <w:pPr>
              <w:pStyle w:val="P68B1DB1-TableParagraph5"/>
            </w:pPr>
            <w:r>
              <w:t>Doc code: YÖN.REK.32</w:t>
            </w:r>
          </w:p>
        </w:tc>
        <w:tc>
          <w:tcPr>
            <w:tcW w:w="2110" w:type="dxa"/>
          </w:tcPr>
          <w:p w14:paraId="756C933A" w14:textId="77777777" w:rsidR="002D572D" w:rsidRDefault="000428CF">
            <w:pPr>
              <w:pStyle w:val="P68B1DB1-TableParagraph5"/>
            </w:pPr>
            <w:r>
              <w:t>RELEASE DATE: 28.11.2024</w:t>
            </w:r>
          </w:p>
        </w:tc>
        <w:tc>
          <w:tcPr>
            <w:tcW w:w="1860" w:type="dxa"/>
          </w:tcPr>
          <w:p w14:paraId="61591D4B" w14:textId="18F14157" w:rsidR="002D572D" w:rsidRDefault="000428CF">
            <w:pPr>
              <w:pStyle w:val="P68B1DB1-TableParagraph5"/>
              <w:ind w:left="107"/>
            </w:pPr>
            <w:r>
              <w:t>R</w:t>
            </w:r>
            <w:r w:rsidR="00DC5600">
              <w:t>EV. DATE:</w:t>
            </w:r>
            <w:r w:rsidR="00DC5600" w:rsidRPr="00DC5600">
              <w:t xml:space="preserve"> 26.06.202</w:t>
            </w:r>
            <w:r w:rsidR="00DC5600">
              <w:t xml:space="preserve">5 </w:t>
            </w:r>
          </w:p>
        </w:tc>
        <w:tc>
          <w:tcPr>
            <w:tcW w:w="1278" w:type="dxa"/>
          </w:tcPr>
          <w:p w14:paraId="32C59E96" w14:textId="03607288" w:rsidR="002D572D" w:rsidRDefault="000428CF">
            <w:pPr>
              <w:pStyle w:val="P68B1DB1-TableParagraph5"/>
              <w:ind w:left="325"/>
            </w:pPr>
            <w:r>
              <w:t xml:space="preserve">REV. No: </w:t>
            </w:r>
            <w:r w:rsidR="00DC5600">
              <w:t>01</w:t>
            </w:r>
          </w:p>
        </w:tc>
        <w:tc>
          <w:tcPr>
            <w:tcW w:w="1558" w:type="dxa"/>
          </w:tcPr>
          <w:p w14:paraId="6261C040" w14:textId="77777777" w:rsidR="002D572D" w:rsidRDefault="000428CF">
            <w:pPr>
              <w:pStyle w:val="P68B1DB1-TableParagraph5"/>
              <w:ind w:left="203"/>
            </w:pPr>
            <w:r>
              <w:t>INTERNAL ONLY</w:t>
            </w:r>
          </w:p>
        </w:tc>
      </w:tr>
    </w:tbl>
    <w:p w14:paraId="714647F9" w14:textId="77777777" w:rsidR="007B64B9" w:rsidRDefault="007B64B9"/>
    <w:sectPr w:rsidR="007B64B9">
      <w:pgSz w:w="11910" w:h="16840"/>
      <w:pgMar w:top="1320" w:right="1133" w:bottom="620" w:left="1275" w:header="0" w:footer="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67833" w14:textId="77777777" w:rsidR="007B64B9" w:rsidRDefault="007B64B9">
      <w:r>
        <w:separator/>
      </w:r>
    </w:p>
  </w:endnote>
  <w:endnote w:type="continuationSeparator" w:id="0">
    <w:p w14:paraId="42FE20CB" w14:textId="77777777" w:rsidR="007B64B9" w:rsidRDefault="007B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0C07C" w14:textId="77777777" w:rsidR="002D572D" w:rsidRDefault="000428CF">
    <w:pPr>
      <w:pStyle w:val="P68B1DB1-BodyText7"/>
      <w:spacing w:line="14" w:lineRule="auto"/>
    </w:pPr>
    <w:r>
      <w:rPr>
        <w:noProof/>
      </w:rPr>
      <mc:AlternateContent>
        <mc:Choice Requires="wps">
          <w:drawing>
            <wp:anchor distT="0" distB="0" distL="0" distR="0" simplePos="0" relativeHeight="487490560" behindDoc="1" locked="0" layoutInCell="1" allowOverlap="1" wp14:anchorId="4FB98C93" wp14:editId="1C52CE8D">
              <wp:simplePos x="0" y="0"/>
              <wp:positionH relativeFrom="page">
                <wp:posOffset>1497838</wp:posOffset>
              </wp:positionH>
              <wp:positionV relativeFrom="page">
                <wp:posOffset>10118997</wp:posOffset>
              </wp:positionV>
              <wp:extent cx="4021454"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1454" cy="139065"/>
                      </a:xfrm>
                      <a:prstGeom prst="rect">
                        <a:avLst/>
                      </a:prstGeom>
                    </wps:spPr>
                    <wps:txbx>
                      <w:txbxContent>
                        <w:p w14:paraId="2FCAC753" w14:textId="77777777" w:rsidR="002D572D" w:rsidRDefault="000428CF">
                          <w:pPr>
                            <w:pStyle w:val="P68B1DB1-Normal6"/>
                            <w:tabs>
                              <w:tab w:val="left" w:pos="5618"/>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3</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wps:txbx>
                    <wps:bodyPr wrap="square" lIns="0" tIns="0" rIns="0" bIns="0" rtlCol="0">
                      <a:noAutofit/>
                    </wps:bodyPr>
                  </wps:wsp>
                </a:graphicData>
              </a:graphic>
            </wp:anchor>
          </w:drawing>
        </mc:Choice>
        <mc:Fallback>
          <w:pict>
            <v:shapetype w14:anchorId="4FB98C93" id="_x0000_t202" coordsize="21600,21600" o:spt="202" path="m,l,21600r21600,l21600,xe">
              <v:stroke joinstyle="miter"/>
              <v:path gradientshapeok="t" o:connecttype="rect"/>
            </v:shapetype>
            <v:shape id="Textbox 1" o:spid="_x0000_s1026" type="#_x0000_t202" style="position:absolute;margin-left:117.95pt;margin-top:796.75pt;width:316.65pt;height:10.95pt;z-index:-1582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xglQEAABsDAAAOAAAAZHJzL2Uyb0RvYy54bWysUsFu2zAMvQ/YPwi6N3bStFiNOMW2YsOA&#10;YivQ9gMUWYqNWaJGKrHz96MUJxm2W7ELRUnU43uPWt2Prhd7g9SBr+V8VkphvIam89tavr58ufog&#10;BUXlG9WDN7U8GJL36/fvVkOozAJa6BuDgkE8VUOoZRtjqIqCdGucohkE4/nSAjoVeYvbokE1MLrr&#10;i0VZ3hYDYBMQtCHi04fjpVxnfGuNjj+sJRNFX0vmFnPEHDcpFuuVqraoQtvpiYZ6AwunOs9Nz1AP&#10;Kiqxw+4fKNdpBAIbZxpcAdZ22mQNrGZe/qXmuVXBZC1sDoWzTfT/YPX3/XN4QhHHTzDyALMICo+g&#10;fxJ7UwyBqqkmeUoVcXUSOlp0aWUJgh+yt4ezn2aMQvPhslzMlzdLKTTfza/vytubZHhxeR2Q4lcD&#10;TqSklsjzygzU/pHisfRUMpE59k9M4rgZuSSlG2gOLGLgOdaSfu0UGin6b56NSkM/JXhKNqcEY/8Z&#10;8tdIWjx83EWwXe58wZ068wQy9+m3pBH/uc9Vlz+9/g0AAP//AwBQSwMEFAAGAAgAAAAhAN9T02zi&#10;AAAADQEAAA8AAABkcnMvZG93bnJldi54bWxMj8FOwzAMhu9Ie4fIk7ixdB2t1tJ0mhCckBBdOXBM&#10;m6yN1jilybby9pjTONr/p9+fi91sB3bRkzcOBaxXETCNrVMGOwGf9evDFpgPEpUcHGoBP9rDrlzc&#10;FTJX7oqVvhxCx6gEfS4F9CGMOee+7bWVfuVGjZQd3WRloHHquJrklcrtwOMoSrmVBulCL0f93Ov2&#10;dDhbAfsvrF7M93vzUR0rU9dZhG/pSYj75bx/Ahb0HG4w/OmTOpTk1LgzKs8GAfEmyQilIMk2CTBC&#10;tmkWA2tola6TR+Blwf9/Uf4CAAD//wMAUEsBAi0AFAAGAAgAAAAhALaDOJL+AAAA4QEAABMAAAAA&#10;AAAAAAAAAAAAAAAAAFtDb250ZW50X1R5cGVzXS54bWxQSwECLQAUAAYACAAAACEAOP0h/9YAAACU&#10;AQAACwAAAAAAAAAAAAAAAAAvAQAAX3JlbHMvLnJlbHNQSwECLQAUAAYACAAAACEAXChsYJUBAAAb&#10;AwAADgAAAAAAAAAAAAAAAAAuAgAAZHJzL2Uyb0RvYy54bWxQSwECLQAUAAYACAAAACEA31PTbOIA&#10;AAANAQAADwAAAAAAAAAAAAAAAADvAwAAZHJzL2Rvd25yZXYueG1sUEsFBgAAAAAEAAQA8wAAAP4E&#10;AAAAAA==&#10;" filled="f" stroked="f">
              <v:textbox inset="0,0,0,0">
                <w:txbxContent>
                  <w:p w14:paraId="2FCAC753" w14:textId="77777777" w:rsidR="002D572D" w:rsidRDefault="000428CF">
                    <w:pPr>
                      <w:pStyle w:val="P68B1DB1-Normal6"/>
                      <w:tabs>
                        <w:tab w:val="left" w:pos="5618"/>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3</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23006" w14:textId="77777777" w:rsidR="007B64B9" w:rsidRDefault="007B64B9">
      <w:r>
        <w:separator/>
      </w:r>
    </w:p>
  </w:footnote>
  <w:footnote w:type="continuationSeparator" w:id="0">
    <w:p w14:paraId="66196A35" w14:textId="77777777" w:rsidR="007B64B9" w:rsidRDefault="007B6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13630"/>
    <w:multiLevelType w:val="hybridMultilevel"/>
    <w:tmpl w:val="F8D6ADA0"/>
    <w:lvl w:ilvl="0" w:tplc="76203842">
      <w:start w:val="1"/>
      <w:numFmt w:val="lowerLetter"/>
      <w:lvlText w:val="%1)"/>
      <w:lvlJc w:val="left"/>
      <w:pPr>
        <w:ind w:left="861"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965492FE">
      <w:numFmt w:val="bullet"/>
      <w:lvlText w:val="•"/>
      <w:lvlJc w:val="left"/>
      <w:pPr>
        <w:ind w:left="1723" w:hanging="360"/>
      </w:pPr>
      <w:rPr>
        <w:rFonts w:hint="default"/>
        <w:lang w:val="tr-TR" w:eastAsia="en-US" w:bidi="ar-SA"/>
      </w:rPr>
    </w:lvl>
    <w:lvl w:ilvl="2" w:tplc="7FAA107E">
      <w:numFmt w:val="bullet"/>
      <w:lvlText w:val="•"/>
      <w:lvlJc w:val="left"/>
      <w:pPr>
        <w:ind w:left="2587" w:hanging="360"/>
      </w:pPr>
      <w:rPr>
        <w:rFonts w:hint="default"/>
        <w:lang w:val="tr-TR" w:eastAsia="en-US" w:bidi="ar-SA"/>
      </w:rPr>
    </w:lvl>
    <w:lvl w:ilvl="3" w:tplc="2376C3E2">
      <w:numFmt w:val="bullet"/>
      <w:lvlText w:val="•"/>
      <w:lvlJc w:val="left"/>
      <w:pPr>
        <w:ind w:left="3451" w:hanging="360"/>
      </w:pPr>
      <w:rPr>
        <w:rFonts w:hint="default"/>
        <w:lang w:val="tr-TR" w:eastAsia="en-US" w:bidi="ar-SA"/>
      </w:rPr>
    </w:lvl>
    <w:lvl w:ilvl="4" w:tplc="4ED481F4">
      <w:numFmt w:val="bullet"/>
      <w:lvlText w:val="•"/>
      <w:lvlJc w:val="left"/>
      <w:pPr>
        <w:ind w:left="4315" w:hanging="360"/>
      </w:pPr>
      <w:rPr>
        <w:rFonts w:hint="default"/>
        <w:lang w:val="tr-TR" w:eastAsia="en-US" w:bidi="ar-SA"/>
      </w:rPr>
    </w:lvl>
    <w:lvl w:ilvl="5" w:tplc="F9CE0512">
      <w:numFmt w:val="bullet"/>
      <w:lvlText w:val="•"/>
      <w:lvlJc w:val="left"/>
      <w:pPr>
        <w:ind w:left="5179" w:hanging="360"/>
      </w:pPr>
      <w:rPr>
        <w:rFonts w:hint="default"/>
        <w:lang w:val="tr-TR" w:eastAsia="en-US" w:bidi="ar-SA"/>
      </w:rPr>
    </w:lvl>
    <w:lvl w:ilvl="6" w:tplc="E22E8E14">
      <w:numFmt w:val="bullet"/>
      <w:lvlText w:val="•"/>
      <w:lvlJc w:val="left"/>
      <w:pPr>
        <w:ind w:left="6043" w:hanging="360"/>
      </w:pPr>
      <w:rPr>
        <w:rFonts w:hint="default"/>
        <w:lang w:val="tr-TR" w:eastAsia="en-US" w:bidi="ar-SA"/>
      </w:rPr>
    </w:lvl>
    <w:lvl w:ilvl="7" w:tplc="37ECC1BC">
      <w:numFmt w:val="bullet"/>
      <w:lvlText w:val="•"/>
      <w:lvlJc w:val="left"/>
      <w:pPr>
        <w:ind w:left="6906" w:hanging="360"/>
      </w:pPr>
      <w:rPr>
        <w:rFonts w:hint="default"/>
        <w:lang w:val="tr-TR" w:eastAsia="en-US" w:bidi="ar-SA"/>
      </w:rPr>
    </w:lvl>
    <w:lvl w:ilvl="8" w:tplc="CD1AD814">
      <w:numFmt w:val="bullet"/>
      <w:lvlText w:val="•"/>
      <w:lvlJc w:val="left"/>
      <w:pPr>
        <w:ind w:left="7770" w:hanging="360"/>
      </w:pPr>
      <w:rPr>
        <w:rFonts w:hint="default"/>
        <w:lang w:val="tr-TR" w:eastAsia="en-US" w:bidi="ar-SA"/>
      </w:rPr>
    </w:lvl>
  </w:abstractNum>
  <w:abstractNum w:abstractNumId="1" w15:restartNumberingAfterBreak="0">
    <w:nsid w:val="427E27DB"/>
    <w:multiLevelType w:val="hybridMultilevel"/>
    <w:tmpl w:val="8E340670"/>
    <w:lvl w:ilvl="0" w:tplc="32E86994">
      <w:start w:val="2"/>
      <w:numFmt w:val="decimal"/>
      <w:lvlText w:val="(%1)"/>
      <w:lvlJc w:val="left"/>
      <w:pPr>
        <w:ind w:left="141" w:hanging="401"/>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D3CE2588">
      <w:start w:val="1"/>
      <w:numFmt w:val="lowerLetter"/>
      <w:lvlText w:val="%2)"/>
      <w:lvlJc w:val="left"/>
      <w:pPr>
        <w:ind w:left="861"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1AF23A4A">
      <w:numFmt w:val="bullet"/>
      <w:lvlText w:val="•"/>
      <w:lvlJc w:val="left"/>
      <w:pPr>
        <w:ind w:left="1819" w:hanging="360"/>
      </w:pPr>
      <w:rPr>
        <w:rFonts w:hint="default"/>
        <w:lang w:val="tr-TR" w:eastAsia="en-US" w:bidi="ar-SA"/>
      </w:rPr>
    </w:lvl>
    <w:lvl w:ilvl="3" w:tplc="ABEE6034">
      <w:numFmt w:val="bullet"/>
      <w:lvlText w:val="•"/>
      <w:lvlJc w:val="left"/>
      <w:pPr>
        <w:ind w:left="2779" w:hanging="360"/>
      </w:pPr>
      <w:rPr>
        <w:rFonts w:hint="default"/>
        <w:lang w:val="tr-TR" w:eastAsia="en-US" w:bidi="ar-SA"/>
      </w:rPr>
    </w:lvl>
    <w:lvl w:ilvl="4" w:tplc="4966306E">
      <w:numFmt w:val="bullet"/>
      <w:lvlText w:val="•"/>
      <w:lvlJc w:val="left"/>
      <w:pPr>
        <w:ind w:left="3739" w:hanging="360"/>
      </w:pPr>
      <w:rPr>
        <w:rFonts w:hint="default"/>
        <w:lang w:val="tr-TR" w:eastAsia="en-US" w:bidi="ar-SA"/>
      </w:rPr>
    </w:lvl>
    <w:lvl w:ilvl="5" w:tplc="41F0E1B4">
      <w:numFmt w:val="bullet"/>
      <w:lvlText w:val="•"/>
      <w:lvlJc w:val="left"/>
      <w:pPr>
        <w:ind w:left="4699" w:hanging="360"/>
      </w:pPr>
      <w:rPr>
        <w:rFonts w:hint="default"/>
        <w:lang w:val="tr-TR" w:eastAsia="en-US" w:bidi="ar-SA"/>
      </w:rPr>
    </w:lvl>
    <w:lvl w:ilvl="6" w:tplc="74AC763A">
      <w:numFmt w:val="bullet"/>
      <w:lvlText w:val="•"/>
      <w:lvlJc w:val="left"/>
      <w:pPr>
        <w:ind w:left="5659" w:hanging="360"/>
      </w:pPr>
      <w:rPr>
        <w:rFonts w:hint="default"/>
        <w:lang w:val="tr-TR" w:eastAsia="en-US" w:bidi="ar-SA"/>
      </w:rPr>
    </w:lvl>
    <w:lvl w:ilvl="7" w:tplc="2DAC9ABC">
      <w:numFmt w:val="bullet"/>
      <w:lvlText w:val="•"/>
      <w:lvlJc w:val="left"/>
      <w:pPr>
        <w:ind w:left="6618" w:hanging="360"/>
      </w:pPr>
      <w:rPr>
        <w:rFonts w:hint="default"/>
        <w:lang w:val="tr-TR" w:eastAsia="en-US" w:bidi="ar-SA"/>
      </w:rPr>
    </w:lvl>
    <w:lvl w:ilvl="8" w:tplc="8F6238B4">
      <w:numFmt w:val="bullet"/>
      <w:lvlText w:val="•"/>
      <w:lvlJc w:val="left"/>
      <w:pPr>
        <w:ind w:left="7578" w:hanging="360"/>
      </w:pPr>
      <w:rPr>
        <w:rFonts w:hint="default"/>
        <w:lang w:val="tr-TR" w:eastAsia="en-US" w:bidi="ar-SA"/>
      </w:rPr>
    </w:lvl>
  </w:abstractNum>
  <w:abstractNum w:abstractNumId="2" w15:restartNumberingAfterBreak="0">
    <w:nsid w:val="59236F49"/>
    <w:multiLevelType w:val="hybridMultilevel"/>
    <w:tmpl w:val="496AF918"/>
    <w:lvl w:ilvl="0" w:tplc="D8387B7E">
      <w:start w:val="1"/>
      <w:numFmt w:val="lowerLetter"/>
      <w:lvlText w:val="%1)"/>
      <w:lvlJc w:val="left"/>
      <w:pPr>
        <w:ind w:left="861"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1AD26C78">
      <w:numFmt w:val="bullet"/>
      <w:lvlText w:val="•"/>
      <w:lvlJc w:val="left"/>
      <w:pPr>
        <w:ind w:left="1723" w:hanging="360"/>
      </w:pPr>
      <w:rPr>
        <w:rFonts w:hint="default"/>
        <w:lang w:val="tr-TR" w:eastAsia="en-US" w:bidi="ar-SA"/>
      </w:rPr>
    </w:lvl>
    <w:lvl w:ilvl="2" w:tplc="9A52BDF4">
      <w:numFmt w:val="bullet"/>
      <w:lvlText w:val="•"/>
      <w:lvlJc w:val="left"/>
      <w:pPr>
        <w:ind w:left="2587" w:hanging="360"/>
      </w:pPr>
      <w:rPr>
        <w:rFonts w:hint="default"/>
        <w:lang w:val="tr-TR" w:eastAsia="en-US" w:bidi="ar-SA"/>
      </w:rPr>
    </w:lvl>
    <w:lvl w:ilvl="3" w:tplc="D0E68B46">
      <w:numFmt w:val="bullet"/>
      <w:lvlText w:val="•"/>
      <w:lvlJc w:val="left"/>
      <w:pPr>
        <w:ind w:left="3451" w:hanging="360"/>
      </w:pPr>
      <w:rPr>
        <w:rFonts w:hint="default"/>
        <w:lang w:val="tr-TR" w:eastAsia="en-US" w:bidi="ar-SA"/>
      </w:rPr>
    </w:lvl>
    <w:lvl w:ilvl="4" w:tplc="9D16DDBC">
      <w:numFmt w:val="bullet"/>
      <w:lvlText w:val="•"/>
      <w:lvlJc w:val="left"/>
      <w:pPr>
        <w:ind w:left="4315" w:hanging="360"/>
      </w:pPr>
      <w:rPr>
        <w:rFonts w:hint="default"/>
        <w:lang w:val="tr-TR" w:eastAsia="en-US" w:bidi="ar-SA"/>
      </w:rPr>
    </w:lvl>
    <w:lvl w:ilvl="5" w:tplc="2A4286B2">
      <w:numFmt w:val="bullet"/>
      <w:lvlText w:val="•"/>
      <w:lvlJc w:val="left"/>
      <w:pPr>
        <w:ind w:left="5179" w:hanging="360"/>
      </w:pPr>
      <w:rPr>
        <w:rFonts w:hint="default"/>
        <w:lang w:val="tr-TR" w:eastAsia="en-US" w:bidi="ar-SA"/>
      </w:rPr>
    </w:lvl>
    <w:lvl w:ilvl="6" w:tplc="FF6A472C">
      <w:numFmt w:val="bullet"/>
      <w:lvlText w:val="•"/>
      <w:lvlJc w:val="left"/>
      <w:pPr>
        <w:ind w:left="6043" w:hanging="360"/>
      </w:pPr>
      <w:rPr>
        <w:rFonts w:hint="default"/>
        <w:lang w:val="tr-TR" w:eastAsia="en-US" w:bidi="ar-SA"/>
      </w:rPr>
    </w:lvl>
    <w:lvl w:ilvl="7" w:tplc="D87E169E">
      <w:numFmt w:val="bullet"/>
      <w:lvlText w:val="•"/>
      <w:lvlJc w:val="left"/>
      <w:pPr>
        <w:ind w:left="6906" w:hanging="360"/>
      </w:pPr>
      <w:rPr>
        <w:rFonts w:hint="default"/>
        <w:lang w:val="tr-TR" w:eastAsia="en-US" w:bidi="ar-SA"/>
      </w:rPr>
    </w:lvl>
    <w:lvl w:ilvl="8" w:tplc="13A85336">
      <w:numFmt w:val="bullet"/>
      <w:lvlText w:val="•"/>
      <w:lvlJc w:val="left"/>
      <w:pPr>
        <w:ind w:left="7770" w:hanging="360"/>
      </w:pPr>
      <w:rPr>
        <w:rFonts w:hint="default"/>
        <w:lang w:val="tr-TR" w:eastAsia="en-US" w:bidi="ar-SA"/>
      </w:rPr>
    </w:lvl>
  </w:abstractNum>
  <w:abstractNum w:abstractNumId="3" w15:restartNumberingAfterBreak="0">
    <w:nsid w:val="69577702"/>
    <w:multiLevelType w:val="hybridMultilevel"/>
    <w:tmpl w:val="BDC0F97C"/>
    <w:lvl w:ilvl="0" w:tplc="D1A40D92">
      <w:start w:val="2"/>
      <w:numFmt w:val="decimal"/>
      <w:lvlText w:val="(%1)"/>
      <w:lvlJc w:val="left"/>
      <w:pPr>
        <w:ind w:left="141" w:hanging="37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C18AF86">
      <w:start w:val="1"/>
      <w:numFmt w:val="lowerLetter"/>
      <w:lvlText w:val="%2)"/>
      <w:lvlJc w:val="left"/>
      <w:pPr>
        <w:ind w:left="861"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21808F84">
      <w:numFmt w:val="bullet"/>
      <w:lvlText w:val="•"/>
      <w:lvlJc w:val="left"/>
      <w:pPr>
        <w:ind w:left="1819" w:hanging="360"/>
      </w:pPr>
      <w:rPr>
        <w:rFonts w:hint="default"/>
        <w:lang w:val="tr-TR" w:eastAsia="en-US" w:bidi="ar-SA"/>
      </w:rPr>
    </w:lvl>
    <w:lvl w:ilvl="3" w:tplc="364C4B54">
      <w:numFmt w:val="bullet"/>
      <w:lvlText w:val="•"/>
      <w:lvlJc w:val="left"/>
      <w:pPr>
        <w:ind w:left="2779" w:hanging="360"/>
      </w:pPr>
      <w:rPr>
        <w:rFonts w:hint="default"/>
        <w:lang w:val="tr-TR" w:eastAsia="en-US" w:bidi="ar-SA"/>
      </w:rPr>
    </w:lvl>
    <w:lvl w:ilvl="4" w:tplc="3F66B670">
      <w:numFmt w:val="bullet"/>
      <w:lvlText w:val="•"/>
      <w:lvlJc w:val="left"/>
      <w:pPr>
        <w:ind w:left="3739" w:hanging="360"/>
      </w:pPr>
      <w:rPr>
        <w:rFonts w:hint="default"/>
        <w:lang w:val="tr-TR" w:eastAsia="en-US" w:bidi="ar-SA"/>
      </w:rPr>
    </w:lvl>
    <w:lvl w:ilvl="5" w:tplc="95381AAA">
      <w:numFmt w:val="bullet"/>
      <w:lvlText w:val="•"/>
      <w:lvlJc w:val="left"/>
      <w:pPr>
        <w:ind w:left="4699" w:hanging="360"/>
      </w:pPr>
      <w:rPr>
        <w:rFonts w:hint="default"/>
        <w:lang w:val="tr-TR" w:eastAsia="en-US" w:bidi="ar-SA"/>
      </w:rPr>
    </w:lvl>
    <w:lvl w:ilvl="6" w:tplc="5BA08C82">
      <w:numFmt w:val="bullet"/>
      <w:lvlText w:val="•"/>
      <w:lvlJc w:val="left"/>
      <w:pPr>
        <w:ind w:left="5659" w:hanging="360"/>
      </w:pPr>
      <w:rPr>
        <w:rFonts w:hint="default"/>
        <w:lang w:val="tr-TR" w:eastAsia="en-US" w:bidi="ar-SA"/>
      </w:rPr>
    </w:lvl>
    <w:lvl w:ilvl="7" w:tplc="E2DC9620">
      <w:numFmt w:val="bullet"/>
      <w:lvlText w:val="•"/>
      <w:lvlJc w:val="left"/>
      <w:pPr>
        <w:ind w:left="6618" w:hanging="360"/>
      </w:pPr>
      <w:rPr>
        <w:rFonts w:hint="default"/>
        <w:lang w:val="tr-TR" w:eastAsia="en-US" w:bidi="ar-SA"/>
      </w:rPr>
    </w:lvl>
    <w:lvl w:ilvl="8" w:tplc="B24A5CB0">
      <w:numFmt w:val="bullet"/>
      <w:lvlText w:val="•"/>
      <w:lvlJc w:val="left"/>
      <w:pPr>
        <w:ind w:left="7578" w:hanging="360"/>
      </w:pPr>
      <w:rPr>
        <w:rFonts w:hint="default"/>
        <w:lang w:val="tr-TR" w:eastAsia="en-US" w:bidi="ar-SA"/>
      </w:rPr>
    </w:lvl>
  </w:abstractNum>
  <w:abstractNum w:abstractNumId="4" w15:restartNumberingAfterBreak="0">
    <w:nsid w:val="6DEB1C20"/>
    <w:multiLevelType w:val="hybridMultilevel"/>
    <w:tmpl w:val="496AF918"/>
    <w:lvl w:ilvl="0" w:tplc="FFFFFFFF">
      <w:start w:val="1"/>
      <w:numFmt w:val="lowerLetter"/>
      <w:lvlText w:val="%1)"/>
      <w:lvlJc w:val="left"/>
      <w:pPr>
        <w:ind w:left="861"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FFFFFFFF">
      <w:numFmt w:val="bullet"/>
      <w:lvlText w:val="•"/>
      <w:lvlJc w:val="left"/>
      <w:pPr>
        <w:ind w:left="1723" w:hanging="360"/>
      </w:pPr>
      <w:rPr>
        <w:rFonts w:hint="default"/>
        <w:lang w:val="tr-TR" w:eastAsia="en-US" w:bidi="ar-SA"/>
      </w:rPr>
    </w:lvl>
    <w:lvl w:ilvl="2" w:tplc="FFFFFFFF">
      <w:numFmt w:val="bullet"/>
      <w:lvlText w:val="•"/>
      <w:lvlJc w:val="left"/>
      <w:pPr>
        <w:ind w:left="2587" w:hanging="360"/>
      </w:pPr>
      <w:rPr>
        <w:rFonts w:hint="default"/>
        <w:lang w:val="tr-TR" w:eastAsia="en-US" w:bidi="ar-SA"/>
      </w:rPr>
    </w:lvl>
    <w:lvl w:ilvl="3" w:tplc="FFFFFFFF">
      <w:numFmt w:val="bullet"/>
      <w:lvlText w:val="•"/>
      <w:lvlJc w:val="left"/>
      <w:pPr>
        <w:ind w:left="3451" w:hanging="360"/>
      </w:pPr>
      <w:rPr>
        <w:rFonts w:hint="default"/>
        <w:lang w:val="tr-TR" w:eastAsia="en-US" w:bidi="ar-SA"/>
      </w:rPr>
    </w:lvl>
    <w:lvl w:ilvl="4" w:tplc="FFFFFFFF">
      <w:numFmt w:val="bullet"/>
      <w:lvlText w:val="•"/>
      <w:lvlJc w:val="left"/>
      <w:pPr>
        <w:ind w:left="4315" w:hanging="360"/>
      </w:pPr>
      <w:rPr>
        <w:rFonts w:hint="default"/>
        <w:lang w:val="tr-TR" w:eastAsia="en-US" w:bidi="ar-SA"/>
      </w:rPr>
    </w:lvl>
    <w:lvl w:ilvl="5" w:tplc="FFFFFFFF">
      <w:numFmt w:val="bullet"/>
      <w:lvlText w:val="•"/>
      <w:lvlJc w:val="left"/>
      <w:pPr>
        <w:ind w:left="5179" w:hanging="360"/>
      </w:pPr>
      <w:rPr>
        <w:rFonts w:hint="default"/>
        <w:lang w:val="tr-TR" w:eastAsia="en-US" w:bidi="ar-SA"/>
      </w:rPr>
    </w:lvl>
    <w:lvl w:ilvl="6" w:tplc="FFFFFFFF">
      <w:numFmt w:val="bullet"/>
      <w:lvlText w:val="•"/>
      <w:lvlJc w:val="left"/>
      <w:pPr>
        <w:ind w:left="6043" w:hanging="360"/>
      </w:pPr>
      <w:rPr>
        <w:rFonts w:hint="default"/>
        <w:lang w:val="tr-TR" w:eastAsia="en-US" w:bidi="ar-SA"/>
      </w:rPr>
    </w:lvl>
    <w:lvl w:ilvl="7" w:tplc="FFFFFFFF">
      <w:numFmt w:val="bullet"/>
      <w:lvlText w:val="•"/>
      <w:lvlJc w:val="left"/>
      <w:pPr>
        <w:ind w:left="6906" w:hanging="360"/>
      </w:pPr>
      <w:rPr>
        <w:rFonts w:hint="default"/>
        <w:lang w:val="tr-TR" w:eastAsia="en-US" w:bidi="ar-SA"/>
      </w:rPr>
    </w:lvl>
    <w:lvl w:ilvl="8" w:tplc="FFFFFFFF">
      <w:numFmt w:val="bullet"/>
      <w:lvlText w:val="•"/>
      <w:lvlJc w:val="left"/>
      <w:pPr>
        <w:ind w:left="7770" w:hanging="360"/>
      </w:pPr>
      <w:rPr>
        <w:rFonts w:hint="default"/>
        <w:lang w:val="tr-TR" w:eastAsia="en-US" w:bidi="ar-SA"/>
      </w:rPr>
    </w:lvl>
  </w:abstractNum>
  <w:num w:numId="1" w16cid:durableId="837424452">
    <w:abstractNumId w:val="0"/>
  </w:num>
  <w:num w:numId="2" w16cid:durableId="681860577">
    <w:abstractNumId w:val="3"/>
  </w:num>
  <w:num w:numId="3" w16cid:durableId="76486307">
    <w:abstractNumId w:val="1"/>
  </w:num>
  <w:num w:numId="4" w16cid:durableId="57868373">
    <w:abstractNumId w:val="2"/>
  </w:num>
  <w:num w:numId="5" w16cid:durableId="721826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D572D"/>
    <w:rsid w:val="000428CF"/>
    <w:rsid w:val="000C1324"/>
    <w:rsid w:val="00147E4A"/>
    <w:rsid w:val="0029661F"/>
    <w:rsid w:val="002D572D"/>
    <w:rsid w:val="003C74C8"/>
    <w:rsid w:val="006B3069"/>
    <w:rsid w:val="007B64B9"/>
    <w:rsid w:val="00A61BA6"/>
    <w:rsid w:val="00DC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0ECB"/>
  <w15:docId w15:val="{B1EB0C72-1528-4820-9BCE-57040494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rPr>
  </w:style>
  <w:style w:type="paragraph" w:styleId="ListParagraph">
    <w:name w:val="List Paragraph"/>
    <w:basedOn w:val="Normal"/>
    <w:uiPriority w:val="1"/>
    <w:qFormat/>
    <w:pPr>
      <w:spacing w:before="41"/>
      <w:ind w:left="861" w:hanging="360"/>
    </w:pPr>
  </w:style>
  <w:style w:type="paragraph" w:customStyle="1" w:styleId="TableParagraph">
    <w:name w:val="Table Paragraph"/>
    <w:basedOn w:val="Normal"/>
    <w:uiPriority w:val="1"/>
    <w:qFormat/>
    <w:pPr>
      <w:spacing w:before="57"/>
      <w:ind w:left="110"/>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Normal3">
    <w:name w:val="P68B1DB1-Normal3"/>
    <w:basedOn w:val="Normal"/>
    <w:rPr>
      <w:sz w:val="24"/>
    </w:rPr>
  </w:style>
  <w:style w:type="paragraph" w:customStyle="1" w:styleId="P68B1DB1-ListParagraph4">
    <w:name w:val="P68B1DB1-ListParagraph4"/>
    <w:basedOn w:val="ListParagraph"/>
    <w:rPr>
      <w:sz w:val="24"/>
    </w:rPr>
  </w:style>
  <w:style w:type="paragraph" w:customStyle="1" w:styleId="P68B1DB1-TableParagraph5">
    <w:name w:val="P68B1DB1-TableParagraph5"/>
    <w:basedOn w:val="TableParagraph"/>
    <w:rPr>
      <w:sz w:val="16"/>
    </w:rPr>
  </w:style>
  <w:style w:type="paragraph" w:customStyle="1" w:styleId="P68B1DB1-Normal6">
    <w:name w:val="P68B1DB1-Normal6"/>
    <w:basedOn w:val="Normal"/>
    <w:rPr>
      <w:sz w:val="16"/>
    </w:rPr>
  </w:style>
  <w:style w:type="paragraph" w:customStyle="1" w:styleId="P68B1DB1-BodyText7">
    <w:name w:val="P68B1DB1-BodyText7"/>
    <w:basedOn w:val="BodyText"/>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Mehmet Yıldırım ÜÇTUĞ</dc:creator>
  <cp:lastModifiedBy>Mehmet Onur TOĞAN</cp:lastModifiedBy>
  <cp:revision>5</cp:revision>
  <dcterms:created xsi:type="dcterms:W3CDTF">2025-02-04T12:24:00Z</dcterms:created>
  <dcterms:modified xsi:type="dcterms:W3CDTF">2025-09-04T09:42:00Z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Microsoft® Word Microsoft 365 için</vt:lpwstr>
  </property>
  <property fmtid="{D5CDD505-2E9C-101B-9397-08002B2CF9AE}" pid="4" name="LastSaved">
    <vt:filetime>2025-02-04T00:00:00Z</vt:filetime>
  </property>
  <property fmtid="{D5CDD505-2E9C-101B-9397-08002B2CF9AE}" pid="5" name="Producer">
    <vt:lpwstr>Microsoft® Word Microsoft 365 için</vt:lpwstr>
  </property>
</Properties>
</file>